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694C17">
        <w:rPr>
          <w:rFonts w:ascii="Arial" w:eastAsia="Malgun Gothic" w:hAnsi="Arial" w:cs="Arial"/>
          <w:b/>
          <w:sz w:val="24"/>
        </w:rPr>
        <w:t>9</w:t>
      </w:r>
      <w:r w:rsidR="004F3092">
        <w:rPr>
          <w:rFonts w:ascii="Arial" w:eastAsia="Malgun Gothic" w:hAnsi="Arial" w:cs="Arial"/>
          <w:b/>
          <w:sz w:val="24"/>
        </w:rPr>
        <w:t>5</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4F4DD4">
        <w:rPr>
          <w:rFonts w:ascii="Arial" w:eastAsia="Malgun Gothic" w:hAnsi="Arial" w:cs="Arial"/>
          <w:b/>
          <w:sz w:val="24"/>
        </w:rPr>
        <w:t>21192</w:t>
      </w:r>
      <w:bookmarkStart w:id="2" w:name="_GoBack"/>
      <w:bookmarkEnd w:id="2"/>
      <w:r w:rsidRPr="00861CDE">
        <w:rPr>
          <w:rFonts w:ascii="Arial" w:eastAsia="Malgun Gothic" w:hAnsi="Arial" w:cs="Arial"/>
          <w:b/>
          <w:sz w:val="24"/>
        </w:rPr>
        <w:br/>
      </w:r>
      <w:r w:rsidR="00694C17" w:rsidRPr="00694C17">
        <w:rPr>
          <w:rFonts w:ascii="Arial" w:eastAsia="Malgun Gothic" w:hAnsi="Arial" w:cs="Arial"/>
          <w:b/>
          <w:sz w:val="24"/>
        </w:rPr>
        <w:t xml:space="preserve">Electronic Meeting, </w:t>
      </w:r>
      <w:r w:rsidR="004F3092">
        <w:rPr>
          <w:b/>
          <w:bCs/>
          <w:sz w:val="24"/>
          <w:szCs w:val="24"/>
        </w:rPr>
        <w:t>21</w:t>
      </w:r>
      <w:r w:rsidR="004F3092" w:rsidRPr="004F3092">
        <w:rPr>
          <w:b/>
          <w:bCs/>
          <w:sz w:val="24"/>
          <w:szCs w:val="24"/>
          <w:vertAlign w:val="superscript"/>
        </w:rPr>
        <w:t>st</w:t>
      </w:r>
      <w:r w:rsidR="004F3092">
        <w:rPr>
          <w:b/>
          <w:bCs/>
          <w:sz w:val="24"/>
          <w:szCs w:val="24"/>
        </w:rPr>
        <w:t xml:space="preserve"> Feb</w:t>
      </w:r>
      <w:r w:rsidR="00065E5F">
        <w:rPr>
          <w:b/>
          <w:bCs/>
          <w:sz w:val="24"/>
          <w:szCs w:val="24"/>
        </w:rPr>
        <w:t xml:space="preserve"> – </w:t>
      </w:r>
      <w:r w:rsidR="004F3092">
        <w:rPr>
          <w:b/>
          <w:bCs/>
          <w:sz w:val="24"/>
          <w:szCs w:val="24"/>
        </w:rPr>
        <w:t>4</w:t>
      </w:r>
      <w:r w:rsidR="004F3092" w:rsidRPr="004F3092">
        <w:rPr>
          <w:b/>
          <w:bCs/>
          <w:sz w:val="24"/>
          <w:szCs w:val="24"/>
          <w:vertAlign w:val="superscript"/>
        </w:rPr>
        <w:t>th</w:t>
      </w:r>
      <w:r w:rsidR="00065E5F">
        <w:rPr>
          <w:b/>
          <w:bCs/>
          <w:sz w:val="24"/>
          <w:szCs w:val="24"/>
        </w:rPr>
        <w:t> </w:t>
      </w:r>
      <w:r w:rsidR="004F3092">
        <w:rPr>
          <w:b/>
          <w:bCs/>
          <w:sz w:val="24"/>
          <w:szCs w:val="24"/>
        </w:rPr>
        <w:t>March</w:t>
      </w:r>
      <w:r w:rsidR="00065E5F">
        <w:rPr>
          <w:b/>
          <w:bCs/>
          <w:sz w:val="24"/>
          <w:szCs w:val="24"/>
        </w:rPr>
        <w:t xml:space="preserve"> 202</w:t>
      </w:r>
      <w:r w:rsidR="004F3092">
        <w:rPr>
          <w:b/>
          <w:bCs/>
          <w:sz w:val="24"/>
          <w:szCs w:val="24"/>
        </w:rPr>
        <w:t>2</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3490">
        <w:rPr>
          <w:rFonts w:ascii="Arial" w:eastAsia="Malgun Gothic" w:hAnsi="Arial" w:cs="Arial"/>
          <w:sz w:val="24"/>
          <w:szCs w:val="24"/>
          <w:lang w:val="en-GB"/>
        </w:rPr>
        <w:t>5.3.</w:t>
      </w:r>
      <w:r w:rsidR="004F3092">
        <w:rPr>
          <w:rFonts w:ascii="Arial" w:eastAsia="Malgun Gothic" w:hAnsi="Arial" w:cs="Arial"/>
          <w:sz w:val="24"/>
          <w:szCs w:val="24"/>
          <w:lang w:val="en-GB"/>
        </w:rPr>
        <w:t>1</w:t>
      </w:r>
      <w:r w:rsidR="00093490">
        <w:rPr>
          <w:rFonts w:ascii="Arial" w:eastAsia="Malgun Gothic" w:hAnsi="Arial" w:cs="Arial"/>
          <w:sz w:val="24"/>
          <w:szCs w:val="24"/>
          <w:lang w:val="en-GB"/>
        </w:rPr>
        <w:t>.17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4F3092" w:rsidRDefault="00861CDE" w:rsidP="004F3092">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4F3092" w:rsidRPr="004F3092">
        <w:rPr>
          <w:rFonts w:ascii="Arial" w:eastAsia="Malgun Gothic" w:hAnsi="Arial" w:cs="Arial"/>
          <w:sz w:val="24"/>
          <w:szCs w:val="24"/>
          <w:lang w:val="en-GB"/>
        </w:rPr>
        <w:t>Update on RRM issue #8</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4F3092" w:rsidP="001B5DBC">
      <w:r>
        <w:t>This contribution gives an update on the status of RRM Issue #8, captured in the following table from [1].</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1927"/>
        <w:gridCol w:w="897"/>
        <w:gridCol w:w="932"/>
        <w:gridCol w:w="1127"/>
        <w:gridCol w:w="1057"/>
        <w:gridCol w:w="1148"/>
        <w:gridCol w:w="992"/>
        <w:gridCol w:w="794"/>
        <w:gridCol w:w="1616"/>
      </w:tblGrid>
      <w:tr w:rsidR="004F3092" w:rsidRPr="001D6860" w:rsidTr="0094612B">
        <w:tc>
          <w:tcPr>
            <w:tcW w:w="250" w:type="dxa"/>
            <w:shd w:val="clear" w:color="auto" w:fill="auto"/>
          </w:tcPr>
          <w:p w:rsidR="004F3092" w:rsidRPr="001D6860" w:rsidRDefault="004F3092" w:rsidP="0094612B">
            <w:pPr>
              <w:pStyle w:val="TAH"/>
            </w:pPr>
            <w:bookmarkStart w:id="3" w:name="_Hlk80778307"/>
            <w:r w:rsidRPr="001D6860">
              <w:t>#</w:t>
            </w:r>
          </w:p>
        </w:tc>
        <w:tc>
          <w:tcPr>
            <w:tcW w:w="1927" w:type="dxa"/>
            <w:shd w:val="clear" w:color="auto" w:fill="auto"/>
          </w:tcPr>
          <w:p w:rsidR="004F3092" w:rsidRPr="001D6860" w:rsidRDefault="004F3092" w:rsidP="0094612B">
            <w:pPr>
              <w:pStyle w:val="TAH"/>
            </w:pPr>
            <w:r w:rsidRPr="001D6860">
              <w:t>Issue</w:t>
            </w:r>
          </w:p>
        </w:tc>
        <w:tc>
          <w:tcPr>
            <w:tcW w:w="897" w:type="dxa"/>
            <w:shd w:val="clear" w:color="auto" w:fill="auto"/>
          </w:tcPr>
          <w:p w:rsidR="004F3092" w:rsidRPr="001D6860" w:rsidRDefault="004F3092" w:rsidP="0094612B">
            <w:pPr>
              <w:pStyle w:val="TAH"/>
            </w:pPr>
            <w:r w:rsidRPr="001D6860">
              <w:t>Test types</w:t>
            </w:r>
          </w:p>
        </w:tc>
        <w:tc>
          <w:tcPr>
            <w:tcW w:w="932" w:type="dxa"/>
            <w:shd w:val="clear" w:color="auto" w:fill="auto"/>
          </w:tcPr>
          <w:p w:rsidR="004F3092" w:rsidRPr="001D6860" w:rsidRDefault="004F3092" w:rsidP="0094612B">
            <w:pPr>
              <w:pStyle w:val="TAH"/>
            </w:pPr>
            <w:r w:rsidRPr="001D6860">
              <w:t>Owner</w:t>
            </w:r>
          </w:p>
        </w:tc>
        <w:tc>
          <w:tcPr>
            <w:tcW w:w="1127" w:type="dxa"/>
            <w:shd w:val="clear" w:color="auto" w:fill="auto"/>
          </w:tcPr>
          <w:p w:rsidR="004F3092" w:rsidRPr="001D6860" w:rsidRDefault="004F3092" w:rsidP="0094612B">
            <w:pPr>
              <w:pStyle w:val="TAH"/>
            </w:pPr>
            <w:r w:rsidRPr="001D6860">
              <w:t>RAN4 Status</w:t>
            </w:r>
          </w:p>
        </w:tc>
        <w:tc>
          <w:tcPr>
            <w:tcW w:w="1057" w:type="dxa"/>
          </w:tcPr>
          <w:p w:rsidR="004F3092" w:rsidRPr="001D6860" w:rsidRDefault="004F3092" w:rsidP="0094612B">
            <w:pPr>
              <w:pStyle w:val="TAH"/>
            </w:pPr>
            <w:r w:rsidRPr="001D6860">
              <w:t>RAN4 Target</w:t>
            </w:r>
          </w:p>
        </w:tc>
        <w:tc>
          <w:tcPr>
            <w:tcW w:w="1148" w:type="dxa"/>
            <w:shd w:val="clear" w:color="auto" w:fill="auto"/>
          </w:tcPr>
          <w:p w:rsidR="004F3092" w:rsidRPr="001D6860" w:rsidRDefault="004F3092" w:rsidP="0094612B">
            <w:pPr>
              <w:pStyle w:val="TAH"/>
            </w:pPr>
            <w:r w:rsidRPr="001D6860">
              <w:t>RAN5 Status</w:t>
            </w:r>
          </w:p>
        </w:tc>
        <w:tc>
          <w:tcPr>
            <w:tcW w:w="992" w:type="dxa"/>
            <w:shd w:val="clear" w:color="auto" w:fill="auto"/>
          </w:tcPr>
          <w:p w:rsidR="004F3092" w:rsidRPr="001D6860" w:rsidRDefault="004F3092" w:rsidP="0094612B">
            <w:pPr>
              <w:pStyle w:val="TAH"/>
            </w:pPr>
            <w:r w:rsidRPr="001D6860">
              <w:t xml:space="preserve">RAN5 </w:t>
            </w:r>
            <w:proofErr w:type="spellStart"/>
            <w:r w:rsidRPr="001D6860">
              <w:t>Tdoc</w:t>
            </w:r>
            <w:proofErr w:type="spellEnd"/>
            <w:r w:rsidRPr="001D6860">
              <w:t>#</w:t>
            </w:r>
          </w:p>
        </w:tc>
        <w:tc>
          <w:tcPr>
            <w:tcW w:w="794" w:type="dxa"/>
            <w:shd w:val="clear" w:color="auto" w:fill="auto"/>
          </w:tcPr>
          <w:p w:rsidR="004F3092" w:rsidRPr="001D6860" w:rsidRDefault="004F3092" w:rsidP="0094612B">
            <w:pPr>
              <w:pStyle w:val="TAH"/>
            </w:pPr>
            <w:r w:rsidRPr="001D6860">
              <w:t>RAN5 Target</w:t>
            </w:r>
          </w:p>
        </w:tc>
        <w:tc>
          <w:tcPr>
            <w:tcW w:w="1616" w:type="dxa"/>
            <w:shd w:val="clear" w:color="auto" w:fill="auto"/>
          </w:tcPr>
          <w:p w:rsidR="004F3092" w:rsidRPr="001D6860" w:rsidRDefault="004F3092" w:rsidP="0094612B">
            <w:pPr>
              <w:pStyle w:val="TAH"/>
            </w:pPr>
            <w:r w:rsidRPr="001D6860">
              <w:t>Comments</w:t>
            </w:r>
          </w:p>
        </w:tc>
      </w:tr>
      <w:bookmarkEnd w:id="3"/>
      <w:tr w:rsidR="004F3092" w:rsidRPr="001D6860" w:rsidTr="0094612B">
        <w:tc>
          <w:tcPr>
            <w:tcW w:w="250" w:type="dxa"/>
            <w:shd w:val="clear" w:color="auto" w:fill="auto"/>
          </w:tcPr>
          <w:p w:rsidR="004F3092" w:rsidRPr="001D6860" w:rsidRDefault="004F3092" w:rsidP="0094612B">
            <w:pPr>
              <w:pStyle w:val="TAL"/>
            </w:pPr>
            <w:r w:rsidRPr="001D6860">
              <w:t>8</w:t>
            </w:r>
          </w:p>
        </w:tc>
        <w:tc>
          <w:tcPr>
            <w:tcW w:w="1927" w:type="dxa"/>
            <w:shd w:val="clear" w:color="auto" w:fill="auto"/>
          </w:tcPr>
          <w:p w:rsidR="004F3092" w:rsidRPr="001D6860" w:rsidRDefault="004F3092" w:rsidP="0094612B">
            <w:pPr>
              <w:pStyle w:val="TAL"/>
            </w:pPr>
            <w:r w:rsidRPr="001D6860">
              <w:t>Handling of 2 Angles of Arrival from 1 cell</w:t>
            </w:r>
          </w:p>
        </w:tc>
        <w:tc>
          <w:tcPr>
            <w:tcW w:w="897" w:type="dxa"/>
            <w:shd w:val="clear" w:color="auto" w:fill="auto"/>
          </w:tcPr>
          <w:p w:rsidR="004F3092" w:rsidRPr="001D6860" w:rsidRDefault="004F3092" w:rsidP="0094612B">
            <w:pPr>
              <w:pStyle w:val="TAC"/>
            </w:pPr>
            <w:r w:rsidRPr="001D6860">
              <w:t>RLM, TCI state switch</w:t>
            </w:r>
          </w:p>
        </w:tc>
        <w:tc>
          <w:tcPr>
            <w:tcW w:w="932" w:type="dxa"/>
            <w:shd w:val="clear" w:color="auto" w:fill="auto"/>
          </w:tcPr>
          <w:p w:rsidR="004F3092" w:rsidRPr="001D6860" w:rsidRDefault="004F3092" w:rsidP="0094612B">
            <w:pPr>
              <w:pStyle w:val="TAC"/>
            </w:pPr>
            <w:r w:rsidRPr="001D6860">
              <w:t>R&amp;S</w:t>
            </w:r>
          </w:p>
        </w:tc>
        <w:tc>
          <w:tcPr>
            <w:tcW w:w="1127" w:type="dxa"/>
            <w:shd w:val="clear" w:color="auto" w:fill="auto"/>
          </w:tcPr>
          <w:p w:rsidR="004F3092" w:rsidRPr="001D6860" w:rsidRDefault="004F3092" w:rsidP="0094612B">
            <w:pPr>
              <w:pStyle w:val="TAL"/>
            </w:pPr>
            <w:r w:rsidRPr="001D6860">
              <w:t>Needs research</w:t>
            </w:r>
          </w:p>
        </w:tc>
        <w:tc>
          <w:tcPr>
            <w:tcW w:w="1057" w:type="dxa"/>
          </w:tcPr>
          <w:p w:rsidR="004F3092" w:rsidRPr="001D6860" w:rsidRDefault="004F3092" w:rsidP="0094612B">
            <w:pPr>
              <w:pStyle w:val="TAL"/>
            </w:pPr>
            <w:r w:rsidRPr="001D6860">
              <w:t>RAN4 #101-e</w:t>
            </w:r>
          </w:p>
        </w:tc>
        <w:tc>
          <w:tcPr>
            <w:tcW w:w="1148" w:type="dxa"/>
            <w:shd w:val="clear" w:color="auto" w:fill="auto"/>
          </w:tcPr>
          <w:p w:rsidR="004F3092" w:rsidRPr="001D6860" w:rsidRDefault="004F3092" w:rsidP="0094612B">
            <w:pPr>
              <w:pStyle w:val="TAL"/>
            </w:pPr>
            <w:r w:rsidRPr="001D6860">
              <w:t>Needs research</w:t>
            </w:r>
          </w:p>
        </w:tc>
        <w:tc>
          <w:tcPr>
            <w:tcW w:w="992" w:type="dxa"/>
            <w:shd w:val="clear" w:color="auto" w:fill="auto"/>
          </w:tcPr>
          <w:p w:rsidR="004F3092" w:rsidRPr="001D6860" w:rsidRDefault="004F3092" w:rsidP="0094612B">
            <w:pPr>
              <w:pStyle w:val="TAL"/>
              <w:rPr>
                <w:sz w:val="16"/>
                <w:szCs w:val="16"/>
              </w:rPr>
            </w:pPr>
          </w:p>
        </w:tc>
        <w:tc>
          <w:tcPr>
            <w:tcW w:w="794" w:type="dxa"/>
            <w:shd w:val="clear" w:color="auto" w:fill="auto"/>
          </w:tcPr>
          <w:p w:rsidR="004F3092" w:rsidRPr="001D6860" w:rsidRDefault="004F3092" w:rsidP="0094612B">
            <w:pPr>
              <w:pStyle w:val="TAL"/>
            </w:pPr>
            <w:r w:rsidRPr="001D6860">
              <w:t>RAN5 #93-e</w:t>
            </w:r>
          </w:p>
        </w:tc>
        <w:tc>
          <w:tcPr>
            <w:tcW w:w="1616" w:type="dxa"/>
            <w:shd w:val="clear" w:color="auto" w:fill="auto"/>
          </w:tcPr>
          <w:p w:rsidR="004F3092" w:rsidRPr="001D6860" w:rsidRDefault="004F3092" w:rsidP="0094612B">
            <w:pPr>
              <w:pStyle w:val="TAL"/>
            </w:pPr>
            <w:r w:rsidRPr="001D6860">
              <w:t>Define TDM?</w:t>
            </w:r>
          </w:p>
        </w:tc>
      </w:tr>
      <w:tr w:rsidR="004F3092" w:rsidRPr="001D6860" w:rsidTr="0094612B">
        <w:tc>
          <w:tcPr>
            <w:tcW w:w="250" w:type="dxa"/>
            <w:shd w:val="clear" w:color="auto" w:fill="auto"/>
          </w:tcPr>
          <w:p w:rsidR="004F3092" w:rsidRPr="001D6860" w:rsidRDefault="004F3092" w:rsidP="0094612B">
            <w:pPr>
              <w:pStyle w:val="TAL"/>
            </w:pPr>
            <w:r w:rsidRPr="001D6860">
              <w:t>…</w:t>
            </w:r>
          </w:p>
        </w:tc>
        <w:tc>
          <w:tcPr>
            <w:tcW w:w="1927" w:type="dxa"/>
            <w:shd w:val="clear" w:color="auto" w:fill="auto"/>
          </w:tcPr>
          <w:p w:rsidR="004F3092" w:rsidRPr="001D6860" w:rsidRDefault="004F3092" w:rsidP="0094612B">
            <w:pPr>
              <w:pStyle w:val="TAL"/>
            </w:pPr>
          </w:p>
        </w:tc>
        <w:tc>
          <w:tcPr>
            <w:tcW w:w="897" w:type="dxa"/>
            <w:shd w:val="clear" w:color="auto" w:fill="auto"/>
          </w:tcPr>
          <w:p w:rsidR="004F3092" w:rsidRPr="001D6860" w:rsidRDefault="004F3092" w:rsidP="0094612B">
            <w:pPr>
              <w:pStyle w:val="TAC"/>
            </w:pPr>
          </w:p>
        </w:tc>
        <w:tc>
          <w:tcPr>
            <w:tcW w:w="932" w:type="dxa"/>
            <w:shd w:val="clear" w:color="auto" w:fill="auto"/>
          </w:tcPr>
          <w:p w:rsidR="004F3092" w:rsidRPr="001D6860" w:rsidRDefault="004F3092" w:rsidP="0094612B">
            <w:pPr>
              <w:pStyle w:val="TAC"/>
            </w:pPr>
          </w:p>
        </w:tc>
        <w:tc>
          <w:tcPr>
            <w:tcW w:w="1127" w:type="dxa"/>
            <w:shd w:val="clear" w:color="auto" w:fill="auto"/>
          </w:tcPr>
          <w:p w:rsidR="004F3092" w:rsidRPr="001D6860" w:rsidRDefault="004F3092" w:rsidP="0094612B">
            <w:pPr>
              <w:pStyle w:val="TAL"/>
            </w:pPr>
          </w:p>
        </w:tc>
        <w:tc>
          <w:tcPr>
            <w:tcW w:w="1057" w:type="dxa"/>
          </w:tcPr>
          <w:p w:rsidR="004F3092" w:rsidRPr="001D6860" w:rsidRDefault="004F3092" w:rsidP="0094612B">
            <w:pPr>
              <w:pStyle w:val="TAL"/>
            </w:pPr>
          </w:p>
        </w:tc>
        <w:tc>
          <w:tcPr>
            <w:tcW w:w="1148" w:type="dxa"/>
            <w:shd w:val="clear" w:color="auto" w:fill="auto"/>
          </w:tcPr>
          <w:p w:rsidR="004F3092" w:rsidRPr="001D6860" w:rsidRDefault="004F3092" w:rsidP="0094612B">
            <w:pPr>
              <w:pStyle w:val="TAL"/>
            </w:pPr>
          </w:p>
        </w:tc>
        <w:tc>
          <w:tcPr>
            <w:tcW w:w="992" w:type="dxa"/>
            <w:shd w:val="clear" w:color="auto" w:fill="auto"/>
          </w:tcPr>
          <w:p w:rsidR="004F3092" w:rsidRPr="001D6860" w:rsidRDefault="004F3092" w:rsidP="0094612B">
            <w:pPr>
              <w:pStyle w:val="TAL"/>
            </w:pPr>
          </w:p>
        </w:tc>
        <w:tc>
          <w:tcPr>
            <w:tcW w:w="794" w:type="dxa"/>
            <w:shd w:val="clear" w:color="auto" w:fill="auto"/>
          </w:tcPr>
          <w:p w:rsidR="004F3092" w:rsidRPr="001D6860" w:rsidRDefault="004F3092" w:rsidP="0094612B">
            <w:pPr>
              <w:pStyle w:val="TAL"/>
            </w:pPr>
          </w:p>
        </w:tc>
        <w:tc>
          <w:tcPr>
            <w:tcW w:w="1616" w:type="dxa"/>
            <w:shd w:val="clear" w:color="auto" w:fill="auto"/>
          </w:tcPr>
          <w:p w:rsidR="004F3092" w:rsidRPr="001D6860" w:rsidRDefault="004F3092" w:rsidP="0094612B">
            <w:pPr>
              <w:pStyle w:val="TAL"/>
            </w:pPr>
          </w:p>
        </w:tc>
      </w:tr>
    </w:tbl>
    <w:p w:rsidR="004F3092" w:rsidRDefault="004F3092" w:rsidP="001B5DBC"/>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4F3092" w:rsidP="001B5DBC">
      <w:r>
        <w:t>The issue occurs in test cases where 2SSBs of the same cell are transmitted from different direction. The question is how to configure the OCGN, AWGN and all other channels of the cell, except the SSBs? From which angle should they be transmitted?</w:t>
      </w:r>
    </w:p>
    <w:p w:rsidR="004F3092" w:rsidRDefault="004F3092" w:rsidP="001B5DBC">
      <w:r>
        <w:t xml:space="preserve">The issue has been solved already for RLM test cases by the definition of a TDM model that determines what channels are transmitted from which </w:t>
      </w:r>
      <w:proofErr w:type="spellStart"/>
      <w:r>
        <w:t>AoA</w:t>
      </w:r>
      <w:proofErr w:type="spellEnd"/>
      <w:r>
        <w:t xml:space="preserve"> in every instant of time: </w:t>
      </w:r>
    </w:p>
    <w:p w:rsidR="004F3092" w:rsidRPr="00B90435" w:rsidRDefault="004F3092" w:rsidP="004F3092">
      <w:pPr>
        <w:pStyle w:val="TH"/>
        <w:rPr>
          <w:lang w:val="en-US"/>
        </w:rPr>
      </w:pPr>
      <w:r w:rsidRPr="00B90435">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52pt" o:ole="">
            <v:imagedata r:id="rId8" o:title=""/>
          </v:shape>
          <o:OLEObject Type="Embed" ProgID="Visio.Drawing.15" ShapeID="_x0000_i1025" DrawAspect="Content" ObjectID="_1706097349" r:id="rId9"/>
        </w:object>
      </w:r>
    </w:p>
    <w:p w:rsidR="004F3092" w:rsidRPr="00B90435" w:rsidRDefault="004F3092" w:rsidP="004F3092">
      <w:pPr>
        <w:pStyle w:val="TF"/>
        <w:rPr>
          <w:lang w:val="en-US"/>
        </w:rPr>
      </w:pPr>
      <w:r w:rsidRPr="00B90435">
        <w:rPr>
          <w:lang w:val="en-US"/>
        </w:rPr>
        <w:t xml:space="preserve">Figure 5.5.1.1.4-2: </w:t>
      </w:r>
      <w:r w:rsidRPr="00B90435">
        <w:t>Time multiplexed downlink transmissions</w:t>
      </w:r>
    </w:p>
    <w:p w:rsidR="004F3092" w:rsidRDefault="004F3092" w:rsidP="001B5DBC">
      <w:r>
        <w:lastRenderedPageBreak/>
        <w:t xml:space="preserve">As part of the analysis for this issue, following test cases where identified, that are affected by the same problem and need a correction in RAN4: </w:t>
      </w:r>
    </w:p>
    <w:p w:rsidR="004F3092" w:rsidRDefault="004F3092" w:rsidP="004F3092">
      <w:pPr>
        <w:pStyle w:val="ListParagraph"/>
        <w:numPr>
          <w:ilvl w:val="0"/>
          <w:numId w:val="31"/>
        </w:numPr>
      </w:pPr>
      <w:r>
        <w:t>5.5.8.1</w:t>
      </w:r>
      <w:r>
        <w:tab/>
      </w:r>
      <w:r w:rsidRPr="00B90435">
        <w:t>EN-DC FR2 MAC-CE based active TCI state switch</w:t>
      </w:r>
    </w:p>
    <w:p w:rsidR="004F3092" w:rsidRDefault="004F3092" w:rsidP="004F3092">
      <w:pPr>
        <w:pStyle w:val="ListParagraph"/>
        <w:numPr>
          <w:ilvl w:val="0"/>
          <w:numId w:val="31"/>
        </w:numPr>
      </w:pPr>
      <w:r>
        <w:t>5.5.8.2</w:t>
      </w:r>
      <w:r>
        <w:tab/>
      </w:r>
      <w:r w:rsidRPr="00B90435">
        <w:t>EN-DC FR2 RRC based active TCI state switch</w:t>
      </w:r>
    </w:p>
    <w:p w:rsidR="004F3092" w:rsidRDefault="004F3092" w:rsidP="004F3092">
      <w:r w:rsidRPr="004F3092">
        <w:t>A RAN4 CR [2] has b</w:t>
      </w:r>
      <w:r>
        <w:t>een provided for providing a TDM model similar to the one in the Figure 5.5.1.1.4-2 for the test cases mentioned above. Our understanding is that this TDM model will solve the issue.</w:t>
      </w:r>
    </w:p>
    <w:p w:rsidR="004F3092" w:rsidRPr="004F3092" w:rsidRDefault="004F3092" w:rsidP="004F3092">
      <w:r w:rsidRPr="004F3092">
        <w:rPr>
          <w:b/>
        </w:rPr>
        <w:t>Observation 1:</w:t>
      </w:r>
      <w:r>
        <w:t xml:space="preserve"> Known Issue #8 can be closed if [2] is endorsed by RAN4.</w:t>
      </w:r>
    </w:p>
    <w:p w:rsidR="00861CDE" w:rsidRPr="004F3092" w:rsidRDefault="00861CDE" w:rsidP="00861CDE">
      <w:pPr>
        <w:keepNext/>
        <w:keepLines/>
        <w:pBdr>
          <w:top w:val="single" w:sz="12" w:space="3" w:color="auto"/>
        </w:pBdr>
        <w:spacing w:before="240" w:after="180" w:line="240" w:lineRule="auto"/>
        <w:outlineLvl w:val="0"/>
        <w:rPr>
          <w:rFonts w:ascii="Arial" w:eastAsia="Malgun Gothic" w:hAnsi="Arial" w:cs="Times New Roman"/>
          <w:sz w:val="36"/>
        </w:rPr>
      </w:pPr>
      <w:r w:rsidRPr="004F3092">
        <w:rPr>
          <w:rFonts w:ascii="Arial" w:eastAsia="Malgun Gothic" w:hAnsi="Arial" w:cs="Times New Roman"/>
          <w:sz w:val="36"/>
        </w:rPr>
        <w:t>Conclusion</w:t>
      </w:r>
    </w:p>
    <w:p w:rsidR="004F3092" w:rsidRPr="004F3092" w:rsidRDefault="004F3092" w:rsidP="004F3092">
      <w:r w:rsidRPr="004F3092">
        <w:rPr>
          <w:b/>
        </w:rPr>
        <w:t>Observation 1:</w:t>
      </w:r>
      <w:r>
        <w:t xml:space="preserve"> Known Issue #8 can be closed if [2] is endorsed by RAN4.</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4F3092" w:rsidP="001A530E">
      <w:pPr>
        <w:numPr>
          <w:ilvl w:val="0"/>
          <w:numId w:val="30"/>
        </w:numPr>
        <w:tabs>
          <w:tab w:val="left" w:pos="426"/>
        </w:tabs>
        <w:overflowPunct w:val="0"/>
        <w:autoSpaceDE w:val="0"/>
        <w:autoSpaceDN w:val="0"/>
        <w:adjustRightInd w:val="0"/>
        <w:spacing w:after="180" w:line="240" w:lineRule="auto"/>
        <w:textAlignment w:val="baseline"/>
      </w:pPr>
      <w:r>
        <w:t>R5-217564</w:t>
      </w:r>
      <w:r w:rsidRPr="004F3092">
        <w:t>, “</w:t>
      </w:r>
      <w:r w:rsidRPr="004F3092">
        <w:rPr>
          <w:rFonts w:ascii="Arial" w:hAnsi="Arial"/>
        </w:rPr>
        <w:t>FR2 RRM test cases: Known Issue List”, Ericsson, RAN5#93-e</w:t>
      </w:r>
    </w:p>
    <w:p w:rsidR="00861CDE" w:rsidRPr="001B5DBC" w:rsidRDefault="004F3092" w:rsidP="001B5DBC">
      <w:r>
        <w:t>[2]</w:t>
      </w:r>
      <w:r>
        <w:tab/>
      </w:r>
      <w:r w:rsidRPr="004F3092">
        <w:t>R4-2203596</w:t>
      </w:r>
      <w:r>
        <w:t>, “</w:t>
      </w:r>
      <w:r w:rsidRPr="004F3092">
        <w:t>Draft CR to TS 38.133: Corrections to active TCI state switch test cases (Rel 15)</w:t>
      </w:r>
      <w:r>
        <w:t>”, Rohde &amp; Schwarz, RAN4#102-e</w:t>
      </w:r>
    </w:p>
    <w:sectPr w:rsidR="00861CDE"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D07" w:rsidRDefault="00962D07" w:rsidP="007D0431">
      <w:pPr>
        <w:spacing w:after="0" w:line="240" w:lineRule="auto"/>
      </w:pPr>
      <w:r>
        <w:separator/>
      </w:r>
    </w:p>
  </w:endnote>
  <w:endnote w:type="continuationSeparator" w:id="0">
    <w:p w:rsidR="00962D07" w:rsidRDefault="00962D07"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D07" w:rsidRDefault="00962D07" w:rsidP="007D0431">
      <w:pPr>
        <w:spacing w:after="0" w:line="240" w:lineRule="auto"/>
      </w:pPr>
      <w:r>
        <w:separator/>
      </w:r>
    </w:p>
  </w:footnote>
  <w:footnote w:type="continuationSeparator" w:id="0">
    <w:p w:rsidR="00962D07" w:rsidRDefault="00962D07"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A56C02"/>
    <w:multiLevelType w:val="multilevel"/>
    <w:tmpl w:val="760620C0"/>
    <w:numStyleLink w:val="1ai"/>
  </w:abstractNum>
  <w:abstractNum w:abstractNumId="27" w15:restartNumberingAfterBreak="0">
    <w:nsid w:val="65BC23B4"/>
    <w:multiLevelType w:val="multilevel"/>
    <w:tmpl w:val="1B04B730"/>
    <w:numStyleLink w:val="RSBullets"/>
  </w:abstractNum>
  <w:num w:numId="1">
    <w:abstractNumId w:val="9"/>
  </w:num>
  <w:num w:numId="2">
    <w:abstractNumId w:val="20"/>
  </w:num>
  <w:num w:numId="3">
    <w:abstractNumId w:val="15"/>
  </w:num>
  <w:num w:numId="4">
    <w:abstractNumId w:val="12"/>
  </w:num>
  <w:num w:numId="5">
    <w:abstractNumId w:val="6"/>
  </w:num>
  <w:num w:numId="6">
    <w:abstractNumId w:val="4"/>
  </w:num>
  <w:num w:numId="7">
    <w:abstractNumId w:val="13"/>
  </w:num>
  <w:num w:numId="8">
    <w:abstractNumId w:val="22"/>
  </w:num>
  <w:num w:numId="9">
    <w:abstractNumId w:val="23"/>
  </w:num>
  <w:num w:numId="10">
    <w:abstractNumId w:val="3"/>
  </w:num>
  <w:num w:numId="11">
    <w:abstractNumId w:val="8"/>
  </w:num>
  <w:num w:numId="12">
    <w:abstractNumId w:val="10"/>
  </w:num>
  <w:num w:numId="13">
    <w:abstractNumId w:val="16"/>
  </w:num>
  <w:num w:numId="14">
    <w:abstractNumId w:val="19"/>
  </w:num>
  <w:num w:numId="15">
    <w:abstractNumId w:val="17"/>
  </w:num>
  <w:num w:numId="16">
    <w:abstractNumId w:val="25"/>
  </w:num>
  <w:num w:numId="17">
    <w:abstractNumId w:val="24"/>
  </w:num>
  <w:num w:numId="18">
    <w:abstractNumId w:val="27"/>
  </w:num>
  <w:num w:numId="19">
    <w:abstractNumId w:val="11"/>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63D89"/>
    <w:rsid w:val="00465C54"/>
    <w:rsid w:val="004B14CB"/>
    <w:rsid w:val="004E7E35"/>
    <w:rsid w:val="004F1C5B"/>
    <w:rsid w:val="004F3092"/>
    <w:rsid w:val="004F4DD4"/>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04534"/>
    <w:rsid w:val="00630DB5"/>
    <w:rsid w:val="0064067F"/>
    <w:rsid w:val="00694C17"/>
    <w:rsid w:val="006B59CE"/>
    <w:rsid w:val="006D5DE8"/>
    <w:rsid w:val="006E77C0"/>
    <w:rsid w:val="007054F4"/>
    <w:rsid w:val="007366B5"/>
    <w:rsid w:val="007468E6"/>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C1B71"/>
    <w:rsid w:val="008D3C8A"/>
    <w:rsid w:val="008E1D01"/>
    <w:rsid w:val="008E436F"/>
    <w:rsid w:val="008E7B7D"/>
    <w:rsid w:val="00900940"/>
    <w:rsid w:val="00910F48"/>
    <w:rsid w:val="00915BD2"/>
    <w:rsid w:val="009213E6"/>
    <w:rsid w:val="00927983"/>
    <w:rsid w:val="0094562B"/>
    <w:rsid w:val="00950F4E"/>
    <w:rsid w:val="00962C49"/>
    <w:rsid w:val="00962D07"/>
    <w:rsid w:val="0099541E"/>
    <w:rsid w:val="009A7252"/>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F38ED"/>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092"/>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rsid w:val="004F3092"/>
    <w:rPr>
      <w:b/>
    </w:rPr>
  </w:style>
  <w:style w:type="paragraph" w:customStyle="1" w:styleId="TAC">
    <w:name w:val="TAC"/>
    <w:basedOn w:val="TAL"/>
    <w:rsid w:val="004F3092"/>
    <w:pPr>
      <w:jc w:val="center"/>
    </w:pPr>
  </w:style>
  <w:style w:type="character" w:customStyle="1" w:styleId="TAHCar">
    <w:name w:val="TAH Car"/>
    <w:link w:val="TAH"/>
    <w:rsid w:val="004F3092"/>
    <w:rPr>
      <w:rFonts w:ascii="Arial" w:eastAsia="MS Mincho" w:hAnsi="Arial" w:cs="Times New Roman"/>
      <w:b/>
      <w:sz w:val="18"/>
      <w:lang w:val="en-GB"/>
    </w:rPr>
  </w:style>
  <w:style w:type="paragraph" w:customStyle="1" w:styleId="TH">
    <w:name w:val="TH"/>
    <w:basedOn w:val="Normal"/>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1395B4A3-95D7-4CD6-BC6C-7CAD2837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1613</Characters>
  <Application>Microsoft Office Word</Application>
  <DocSecurity>0</DocSecurity>
  <Lines>13</Lines>
  <Paragraphs>3</Paragraphs>
  <ScaleCrop>false</ScaleCrop>
  <Company>Rohde &amp; Schwarz</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1CD2</cp:lastModifiedBy>
  <cp:revision>11</cp:revision>
  <cp:lastPrinted>2015-11-10T12:30:00Z</cp:lastPrinted>
  <dcterms:created xsi:type="dcterms:W3CDTF">2020-04-29T06:43:00Z</dcterms:created>
  <dcterms:modified xsi:type="dcterms:W3CDTF">2022-02-11T13:45:00Z</dcterms:modified>
</cp:coreProperties>
</file>